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E13E" w14:textId="0682A6E6" w:rsidR="00154A02" w:rsidRDefault="00D00E8B">
      <w:r>
        <w:t xml:space="preserve">We thank very much the topical editor for </w:t>
      </w:r>
      <w:r w:rsidR="00392963">
        <w:t xml:space="preserve">his </w:t>
      </w:r>
      <w:r>
        <w:t>comments</w:t>
      </w:r>
      <w:r w:rsidR="00392963">
        <w:t xml:space="preserve">, which helped us clarify the </w:t>
      </w:r>
      <w:r>
        <w:t>final manuscript. Here</w:t>
      </w:r>
      <w:r w:rsidR="00392963">
        <w:t xml:space="preserve">, we provide </w:t>
      </w:r>
      <w:r w:rsidR="00392963" w:rsidRPr="0022220B">
        <w:rPr>
          <w:color w:val="5B9BD5" w:themeColor="accent1"/>
        </w:rPr>
        <w:t>in blue</w:t>
      </w:r>
      <w:r w:rsidRPr="0022220B">
        <w:rPr>
          <w:color w:val="5B9BD5" w:themeColor="accent1"/>
        </w:rPr>
        <w:t xml:space="preserve"> </w:t>
      </w:r>
      <w:r>
        <w:t>a short summary of the modifications performed</w:t>
      </w:r>
      <w:r w:rsidR="00392963">
        <w:t>, with non-obvious</w:t>
      </w:r>
      <w:r w:rsidR="00F76ACC">
        <w:t xml:space="preserve"> c</w:t>
      </w:r>
      <w:r w:rsidR="00392963">
        <w:t xml:space="preserve">hanges to the manuscript shown </w:t>
      </w:r>
      <w:r w:rsidR="00392963" w:rsidRPr="0022220B">
        <w:rPr>
          <w:color w:val="538135" w:themeColor="accent6" w:themeShade="BF"/>
        </w:rPr>
        <w:t>in green</w:t>
      </w:r>
      <w:r w:rsidR="00F76ACC">
        <w:t>.</w:t>
      </w:r>
    </w:p>
    <w:p w14:paraId="21A6EC15" w14:textId="77777777" w:rsidR="00D00E8B" w:rsidRDefault="00D00E8B">
      <w:r w:rsidRPr="00D00E8B">
        <w:rPr>
          <w:b/>
        </w:rPr>
        <w:t>Comment 1:</w:t>
      </w:r>
      <w:r>
        <w:rPr>
          <w:b/>
        </w:rPr>
        <w:t xml:space="preserve"> </w:t>
      </w:r>
      <w:r>
        <w:t>Page 2 line 30 “merging them with the those obtained at 30 arc-sec”: delete ‘the’</w:t>
      </w:r>
    </w:p>
    <w:p w14:paraId="0867C68F" w14:textId="5D497D4D" w:rsidR="00D00E8B" w:rsidRDefault="00D00E8B" w:rsidP="00D00E8B">
      <w:pPr>
        <w:rPr>
          <w:b/>
        </w:rPr>
      </w:pPr>
      <w:r w:rsidRPr="00D00E8B">
        <w:rPr>
          <w:b/>
          <w:color w:val="5B9BD5" w:themeColor="accent1"/>
        </w:rPr>
        <w:t>Reply 1</w:t>
      </w:r>
      <w:r w:rsidRPr="00D00E8B">
        <w:rPr>
          <w:color w:val="5B9BD5" w:themeColor="accent1"/>
        </w:rPr>
        <w:t>: the text is corrected.</w:t>
      </w:r>
    </w:p>
    <w:p w14:paraId="103913D9" w14:textId="77777777" w:rsidR="00D00E8B" w:rsidRDefault="00D00E8B" w:rsidP="00D00E8B">
      <w:r w:rsidRPr="00D00E8B">
        <w:rPr>
          <w:b/>
        </w:rPr>
        <w:t xml:space="preserve">Comment </w:t>
      </w:r>
      <w:r>
        <w:rPr>
          <w:b/>
        </w:rPr>
        <w:t>2</w:t>
      </w:r>
      <w:r w:rsidRPr="00D00E8B">
        <w:rPr>
          <w:b/>
        </w:rPr>
        <w:t>:</w:t>
      </w:r>
      <w:r>
        <w:rPr>
          <w:b/>
        </w:rPr>
        <w:t xml:space="preserve"> </w:t>
      </w:r>
      <w:r>
        <w:t>Page 2 line 40: something wrong here? The TI equation looks correct but why the (m) e.g. a(m), in the text? (m) indicates the units, but in which case it should be m**2?</w:t>
      </w:r>
    </w:p>
    <w:p w14:paraId="40928A01" w14:textId="6758D234" w:rsidR="00D00E8B" w:rsidRDefault="00D00E8B" w:rsidP="00D00E8B">
      <w:pPr>
        <w:rPr>
          <w:color w:val="5B9BD5" w:themeColor="accent1"/>
        </w:rPr>
      </w:pPr>
      <w:r w:rsidRPr="00D00E8B">
        <w:rPr>
          <w:b/>
          <w:color w:val="5B9BD5" w:themeColor="accent1"/>
        </w:rPr>
        <w:t xml:space="preserve">Reply </w:t>
      </w:r>
      <w:r>
        <w:rPr>
          <w:b/>
          <w:color w:val="5B9BD5" w:themeColor="accent1"/>
        </w:rPr>
        <w:t>2</w:t>
      </w:r>
      <w:r w:rsidRPr="00D00E8B">
        <w:rPr>
          <w:color w:val="5B9BD5" w:themeColor="accent1"/>
        </w:rPr>
        <w:t xml:space="preserve">: </w:t>
      </w:r>
      <w:r>
        <w:rPr>
          <w:color w:val="5B9BD5" w:themeColor="accent1"/>
        </w:rPr>
        <w:t>In fact the equation is correct. “a” in the formulation refers to the drainage area ‘per contour length’. In other words it’s an area (m2) per length (m) and as a result the unit is meters.</w:t>
      </w:r>
    </w:p>
    <w:p w14:paraId="50C52CB1" w14:textId="77777777" w:rsidR="00D00E8B" w:rsidRDefault="00D00E8B" w:rsidP="00D00E8B">
      <w:r w:rsidRPr="00D00E8B">
        <w:rPr>
          <w:b/>
        </w:rPr>
        <w:t xml:space="preserve">Comment </w:t>
      </w:r>
      <w:r>
        <w:rPr>
          <w:b/>
        </w:rPr>
        <w:t>3</w:t>
      </w:r>
      <w:r w:rsidRPr="00D00E8B">
        <w:rPr>
          <w:b/>
        </w:rPr>
        <w:t>:</w:t>
      </w:r>
      <w:r>
        <w:rPr>
          <w:b/>
        </w:rPr>
        <w:t xml:space="preserve"> </w:t>
      </w:r>
      <w:r>
        <w:t>Page 10 line 1: you use this identical sentence on page 8, line 15. Specify it there, then here write something like ‘as explained above’? We should not get identical phrase in two locations.</w:t>
      </w:r>
    </w:p>
    <w:p w14:paraId="37506475" w14:textId="77777777" w:rsidR="00D00E8B" w:rsidRDefault="00D00E8B" w:rsidP="00D00E8B">
      <w:pPr>
        <w:rPr>
          <w:color w:val="5B9BD5" w:themeColor="accent1"/>
        </w:rPr>
      </w:pPr>
      <w:r w:rsidRPr="00D00E8B">
        <w:rPr>
          <w:b/>
          <w:color w:val="5B9BD5" w:themeColor="accent1"/>
        </w:rPr>
        <w:t xml:space="preserve">Reply </w:t>
      </w:r>
      <w:r>
        <w:rPr>
          <w:b/>
          <w:color w:val="5B9BD5" w:themeColor="accent1"/>
        </w:rPr>
        <w:t>3</w:t>
      </w:r>
      <w:r w:rsidRPr="00D00E8B">
        <w:rPr>
          <w:color w:val="5B9BD5" w:themeColor="accent1"/>
        </w:rPr>
        <w:t xml:space="preserve">: </w:t>
      </w:r>
      <w:r>
        <w:rPr>
          <w:color w:val="5B9BD5" w:themeColor="accent1"/>
        </w:rPr>
        <w:t>The second repetition is modified as:</w:t>
      </w:r>
    </w:p>
    <w:p w14:paraId="222AB466" w14:textId="77777777" w:rsidR="00D00E8B" w:rsidRDefault="00D00E8B" w:rsidP="00D00E8B">
      <w:pPr>
        <w:rPr>
          <w:color w:val="5B9BD5" w:themeColor="accent1"/>
        </w:rPr>
      </w:pPr>
      <w:r>
        <w:rPr>
          <w:color w:val="5B9BD5" w:themeColor="accent1"/>
        </w:rPr>
        <w:t>“</w:t>
      </w:r>
      <w:r w:rsidRPr="00D00E8B">
        <w:rPr>
          <w:color w:val="538135" w:themeColor="accent6" w:themeShade="BF"/>
          <w:lang w:val="en-GB" w:bidi="fa-IR"/>
        </w:rPr>
        <w:t xml:space="preserve">As explained in Sect. 3.1.1 </w:t>
      </w:r>
      <w:r w:rsidRPr="00D00E8B">
        <w:rPr>
          <w:color w:val="538135" w:themeColor="accent6" w:themeShade="BF"/>
          <w:lang w:val="en-GB"/>
        </w:rPr>
        <w:t>we assumed the mean annual WTD in wetlands to be less than 20 cm</w:t>
      </w:r>
      <w:r>
        <w:rPr>
          <w:color w:val="5B9BD5" w:themeColor="accent1"/>
        </w:rPr>
        <w:t>”</w:t>
      </w:r>
    </w:p>
    <w:p w14:paraId="427DEECF" w14:textId="77777777" w:rsidR="00D00E8B" w:rsidRDefault="00D00E8B" w:rsidP="00D00E8B">
      <w:r w:rsidRPr="00D00E8B">
        <w:rPr>
          <w:b/>
        </w:rPr>
        <w:t xml:space="preserve">Comment </w:t>
      </w:r>
      <w:r>
        <w:rPr>
          <w:b/>
        </w:rPr>
        <w:t>4</w:t>
      </w:r>
      <w:r w:rsidRPr="00D00E8B">
        <w:rPr>
          <w:b/>
        </w:rPr>
        <w:t>:</w:t>
      </w:r>
      <w:r>
        <w:rPr>
          <w:b/>
        </w:rPr>
        <w:t xml:space="preserve"> </w:t>
      </w:r>
      <w:r>
        <w:t>Page 10, wetness indices defin</w:t>
      </w:r>
      <w:r w:rsidR="00085284">
        <w:t>i</w:t>
      </w:r>
      <w:r>
        <w:t>tions: as both reviewers commented, these paragraphs and equations really belong in section 2 about data processing. Here in section 3 you want to focus on the composite maps. No re-writing necessary but to move some paragraphs would make a substantial improvement?</w:t>
      </w:r>
    </w:p>
    <w:p w14:paraId="743F660B" w14:textId="77777777" w:rsidR="00D00E8B" w:rsidRDefault="00D00E8B" w:rsidP="00D00E8B">
      <w:pPr>
        <w:rPr>
          <w:color w:val="5B9BD5" w:themeColor="accent1"/>
        </w:rPr>
      </w:pPr>
      <w:r w:rsidRPr="00D00E8B">
        <w:rPr>
          <w:b/>
          <w:color w:val="5B9BD5" w:themeColor="accent1"/>
        </w:rPr>
        <w:t xml:space="preserve">Reply </w:t>
      </w:r>
      <w:r w:rsidR="00897916">
        <w:rPr>
          <w:b/>
          <w:color w:val="5B9BD5" w:themeColor="accent1"/>
        </w:rPr>
        <w:t>4</w:t>
      </w:r>
      <w:r w:rsidRPr="00D00E8B">
        <w:rPr>
          <w:color w:val="5B9BD5" w:themeColor="accent1"/>
        </w:rPr>
        <w:t>:</w:t>
      </w:r>
      <w:r>
        <w:rPr>
          <w:color w:val="5B9BD5" w:themeColor="accent1"/>
        </w:rPr>
        <w:t xml:space="preserve"> some modifications were done to </w:t>
      </w:r>
      <w:r w:rsidR="00897916">
        <w:rPr>
          <w:color w:val="5B9BD5" w:themeColor="accent1"/>
        </w:rPr>
        <w:t>move description of topographic indices to section 2.</w:t>
      </w:r>
    </w:p>
    <w:p w14:paraId="3F3AB4F3" w14:textId="231D22D5" w:rsidR="00897916" w:rsidRDefault="00897916" w:rsidP="00D00E8B">
      <w:pPr>
        <w:rPr>
          <w:color w:val="5B9BD5" w:themeColor="accent1"/>
        </w:rPr>
      </w:pPr>
      <w:r>
        <w:rPr>
          <w:color w:val="5B9BD5" w:themeColor="accent1"/>
        </w:rPr>
        <w:t xml:space="preserve">The paragraphs under the title: “Three wetness index formulations” are moved to 2.4.2. </w:t>
      </w:r>
      <w:r w:rsidR="00085284">
        <w:rPr>
          <w:color w:val="5B9BD5" w:themeColor="accent1"/>
        </w:rPr>
        <w:t>A</w:t>
      </w:r>
      <w:r>
        <w:rPr>
          <w:color w:val="5B9BD5" w:themeColor="accent1"/>
        </w:rPr>
        <w:t>s a result the name of section 2.4.2 is changed to “</w:t>
      </w:r>
      <w:r w:rsidRPr="0022220B">
        <w:rPr>
          <w:color w:val="538135" w:themeColor="accent6" w:themeShade="BF"/>
        </w:rPr>
        <w:t xml:space="preserve">Three </w:t>
      </w:r>
      <w:r w:rsidR="009033BB" w:rsidRPr="0022220B">
        <w:rPr>
          <w:color w:val="538135" w:themeColor="accent6" w:themeShade="BF"/>
        </w:rPr>
        <w:t>maps o</w:t>
      </w:r>
      <w:r w:rsidRPr="0022220B">
        <w:rPr>
          <w:color w:val="538135" w:themeColor="accent6" w:themeShade="BF"/>
        </w:rPr>
        <w:t>f topographic wetness indices</w:t>
      </w:r>
      <w:r>
        <w:rPr>
          <w:color w:val="5B9BD5" w:themeColor="accent1"/>
        </w:rPr>
        <w:t xml:space="preserve">”. Section 2.4.2 </w:t>
      </w:r>
      <w:r w:rsidR="009033BB">
        <w:rPr>
          <w:color w:val="5B9BD5" w:themeColor="accent1"/>
        </w:rPr>
        <w:t xml:space="preserve">now </w:t>
      </w:r>
      <w:r>
        <w:rPr>
          <w:color w:val="5B9BD5" w:themeColor="accent1"/>
        </w:rPr>
        <w:t>starts with the following sentences:</w:t>
      </w:r>
    </w:p>
    <w:p w14:paraId="4A3C98FB" w14:textId="09CB3487" w:rsidR="00897916" w:rsidRDefault="00897916" w:rsidP="00D00E8B">
      <w:pPr>
        <w:rPr>
          <w:color w:val="5B9BD5" w:themeColor="accent1"/>
        </w:rPr>
      </w:pPr>
      <w:r>
        <w:rPr>
          <w:color w:val="5B9BD5" w:themeColor="accent1"/>
        </w:rPr>
        <w:t>“</w:t>
      </w:r>
      <w:r w:rsidR="0022220B" w:rsidRPr="0022220B">
        <w:rPr>
          <w:color w:val="538135" w:themeColor="accent6" w:themeShade="BF"/>
        </w:rPr>
        <w:t>Flat downstream areas display a marked propensity to be saturated, which explains the wide use of topographic indices to delineate wetlands</w:t>
      </w:r>
      <w:r w:rsidR="0022220B" w:rsidRPr="00153232">
        <w:rPr>
          <w:lang w:val="en-GB"/>
        </w:rPr>
        <w:t>.</w:t>
      </w:r>
      <w:r w:rsidR="00F76ACC">
        <w:rPr>
          <w:color w:val="538135" w:themeColor="accent6" w:themeShade="BF"/>
          <w:lang w:val="en-GB"/>
        </w:rPr>
        <w:t xml:space="preserve"> </w:t>
      </w:r>
      <w:r w:rsidR="00F76ACC" w:rsidRPr="0022220B">
        <w:rPr>
          <w:color w:val="538135" w:themeColor="accent6" w:themeShade="BF"/>
          <w:lang w:val="en-GB"/>
        </w:rPr>
        <w:t xml:space="preserve">Here, we use the global map of TI produced by Marthews et al. (2015) at 15 arc-sec resolution. It relies on the original formulation of Beven and Kirkby (1979), as in Eq (1), and on </w:t>
      </w:r>
      <w:r w:rsidR="00F76ACC" w:rsidRPr="0022220B">
        <w:rPr>
          <w:color w:val="5B9BD5" w:themeColor="accent1"/>
          <w:lang w:val="en-GB"/>
        </w:rPr>
        <w:t>two global high-resolution digital elevation models (DEMs),…</w:t>
      </w:r>
      <w:r w:rsidR="00F76ACC" w:rsidRPr="00CC761C">
        <w:rPr>
          <w:lang w:val="en-GB"/>
        </w:rPr>
        <w:t xml:space="preserve"> </w:t>
      </w:r>
      <w:r>
        <w:rPr>
          <w:color w:val="5B9BD5" w:themeColor="accent1"/>
        </w:rPr>
        <w:t xml:space="preserve">” </w:t>
      </w:r>
    </w:p>
    <w:p w14:paraId="11C5B2B2" w14:textId="77777777" w:rsidR="00897916" w:rsidRDefault="00897916" w:rsidP="00D00E8B">
      <w:pPr>
        <w:rPr>
          <w:color w:val="5B9BD5" w:themeColor="accent1"/>
        </w:rPr>
      </w:pPr>
      <w:r>
        <w:rPr>
          <w:color w:val="5B9BD5" w:themeColor="accent1"/>
        </w:rPr>
        <w:t>The second paragraph starts with the text moved from 3.2.2:</w:t>
      </w:r>
    </w:p>
    <w:p w14:paraId="68652483" w14:textId="5E5D6754" w:rsidR="00897916" w:rsidRDefault="00897916" w:rsidP="00D00E8B">
      <w:pPr>
        <w:rPr>
          <w:color w:val="5B9BD5" w:themeColor="accent1"/>
        </w:rPr>
      </w:pPr>
      <w:r>
        <w:rPr>
          <w:color w:val="5B9BD5" w:themeColor="accent1"/>
        </w:rPr>
        <w:t>“</w:t>
      </w:r>
      <w:r w:rsidR="009033BB" w:rsidRPr="0022220B">
        <w:rPr>
          <w:color w:val="5B9BD5" w:themeColor="accent1"/>
          <w:lang w:val="en-GB"/>
        </w:rPr>
        <w:t>T</w:t>
      </w:r>
      <w:r w:rsidRPr="0022220B">
        <w:rPr>
          <w:color w:val="5B9BD5" w:themeColor="accent1"/>
          <w:lang w:val="en-GB"/>
        </w:rPr>
        <w:t>opography</w:t>
      </w:r>
      <w:r w:rsidR="009033BB" w:rsidRPr="00F76ACC">
        <w:rPr>
          <w:color w:val="538135" w:themeColor="accent6" w:themeShade="BF"/>
          <w:lang w:val="en-GB"/>
        </w:rPr>
        <w:t>, however,</w:t>
      </w:r>
      <w:r w:rsidRPr="00F76ACC">
        <w:rPr>
          <w:color w:val="538135" w:themeColor="accent6" w:themeShade="BF"/>
          <w:lang w:val="en-GB"/>
        </w:rPr>
        <w:t xml:space="preserve"> </w:t>
      </w:r>
      <w:r w:rsidRPr="0022220B">
        <w:rPr>
          <w:color w:val="5B9BD5" w:themeColor="accent1"/>
          <w:lang w:val="en-GB"/>
        </w:rPr>
        <w:t>is often not sufficient for wetland identification because climate and subsurface characteristics also control water availability and vertical drainage…</w:t>
      </w:r>
      <w:r>
        <w:rPr>
          <w:color w:val="5B9BD5" w:themeColor="accent1"/>
        </w:rPr>
        <w:t>”</w:t>
      </w:r>
    </w:p>
    <w:p w14:paraId="0B36AB3B" w14:textId="77777777" w:rsidR="00F76ACC" w:rsidRDefault="00F76ACC" w:rsidP="00D00E8B">
      <w:pPr>
        <w:rPr>
          <w:color w:val="5B9BD5" w:themeColor="accent1"/>
        </w:rPr>
      </w:pPr>
      <w:r>
        <w:rPr>
          <w:color w:val="5B9BD5" w:themeColor="accent1"/>
        </w:rPr>
        <w:t>Section 3.3.2 is left with one paragraph, explaining the two ways to define the TI thresholds, and the analyzing the produced maps. The beginning of the paragraph is slightly changed to (changes in bold):</w:t>
      </w:r>
    </w:p>
    <w:p w14:paraId="4B53B0A7" w14:textId="77777777" w:rsidR="00897916" w:rsidRDefault="00F76ACC" w:rsidP="00D00E8B">
      <w:pPr>
        <w:rPr>
          <w:color w:val="5B9BD5" w:themeColor="accent1"/>
        </w:rPr>
      </w:pPr>
      <w:r>
        <w:rPr>
          <w:color w:val="5B9BD5" w:themeColor="accent1"/>
        </w:rPr>
        <w:t>“</w:t>
      </w:r>
      <w:r w:rsidRPr="0022220B">
        <w:rPr>
          <w:color w:val="538135" w:themeColor="accent6" w:themeShade="BF"/>
          <w:lang w:val="en-GB"/>
        </w:rPr>
        <w:t>In line with</w:t>
      </w:r>
      <w:r w:rsidRPr="0022220B">
        <w:rPr>
          <w:b/>
          <w:color w:val="538135" w:themeColor="accent6" w:themeShade="BF"/>
          <w:lang w:val="en-GB"/>
        </w:rPr>
        <w:t xml:space="preserve"> </w:t>
      </w:r>
      <w:r w:rsidRPr="0022220B">
        <w:rPr>
          <w:color w:val="5B9BD5" w:themeColor="accent1"/>
          <w:lang w:val="en-GB"/>
        </w:rPr>
        <w:t xml:space="preserve">many studies (Rodhe and Seibert 1999; Curie et al., 2007; Hu et al., 2017), we define TI-based wetlands as the pixels with TI above a certain threshold, defined to match a certain fraction of total land. In doing so, we prescribe the global GDW fraction as a chosen value, and the various TI formulations </w:t>
      </w:r>
      <w:r w:rsidRPr="0022220B">
        <w:rPr>
          <w:color w:val="538135" w:themeColor="accent6" w:themeShade="BF"/>
          <w:lang w:val="en-GB"/>
        </w:rPr>
        <w:t xml:space="preserve">(section 2.4.2) </w:t>
      </w:r>
      <w:r w:rsidRPr="0022220B">
        <w:rPr>
          <w:color w:val="5B9BD5" w:themeColor="accent1"/>
          <w:lang w:val="en-GB"/>
        </w:rPr>
        <w:t>only change the geographic distribution of the corresponding wetlands</w:t>
      </w:r>
      <w:r w:rsidRPr="0022220B">
        <w:rPr>
          <w:color w:val="538135" w:themeColor="accent6" w:themeShade="BF"/>
          <w:lang w:val="en-GB"/>
        </w:rPr>
        <w:t>.</w:t>
      </w:r>
      <w:r>
        <w:rPr>
          <w:color w:val="5B9BD5" w:themeColor="accent1"/>
        </w:rPr>
        <w:t xml:space="preserve">” </w:t>
      </w:r>
    </w:p>
    <w:p w14:paraId="64ACD5AD" w14:textId="77777777" w:rsidR="00897916" w:rsidRDefault="00897916" w:rsidP="00897916">
      <w:pPr>
        <w:rPr>
          <w:b/>
          <w:color w:val="5B9BD5" w:themeColor="accent1"/>
        </w:rPr>
      </w:pPr>
      <w:r w:rsidRPr="00D00E8B">
        <w:rPr>
          <w:b/>
        </w:rPr>
        <w:lastRenderedPageBreak/>
        <w:t xml:space="preserve">Comment </w:t>
      </w:r>
      <w:r>
        <w:rPr>
          <w:b/>
        </w:rPr>
        <w:t>5</w:t>
      </w:r>
      <w:r w:rsidRPr="00D00E8B">
        <w:rPr>
          <w:b/>
        </w:rPr>
        <w:t>:</w:t>
      </w:r>
      <w:r>
        <w:rPr>
          <w:b/>
        </w:rPr>
        <w:t xml:space="preserve"> </w:t>
      </w:r>
      <w:r>
        <w:t>Page 13 line 8: “our two CW maps”, but you have 7 CW maps, which two? The two preferred CW maps described on page 17? Later in this paragraph (line 35) you mention “four of our CW maps”. A reader does not know which two or which four maps you refer to and looking at figure legends does not always help.</w:t>
      </w:r>
      <w:r w:rsidRPr="00D00E8B">
        <w:rPr>
          <w:b/>
          <w:color w:val="5B9BD5" w:themeColor="accent1"/>
        </w:rPr>
        <w:t xml:space="preserve"> </w:t>
      </w:r>
    </w:p>
    <w:p w14:paraId="4B6CC766" w14:textId="244496DF" w:rsidR="00897916" w:rsidRDefault="00897916" w:rsidP="00897916">
      <w:pPr>
        <w:rPr>
          <w:color w:val="5B9BD5" w:themeColor="accent1"/>
        </w:rPr>
      </w:pPr>
      <w:r w:rsidRPr="00D00E8B">
        <w:rPr>
          <w:b/>
          <w:color w:val="5B9BD5" w:themeColor="accent1"/>
        </w:rPr>
        <w:t xml:space="preserve">Reply </w:t>
      </w:r>
      <w:r>
        <w:rPr>
          <w:b/>
          <w:color w:val="5B9BD5" w:themeColor="accent1"/>
        </w:rPr>
        <w:t>5</w:t>
      </w:r>
      <w:r w:rsidRPr="00D00E8B">
        <w:rPr>
          <w:color w:val="5B9BD5" w:themeColor="accent1"/>
        </w:rPr>
        <w:t xml:space="preserve">: </w:t>
      </w:r>
      <w:r>
        <w:rPr>
          <w:color w:val="5B9BD5" w:themeColor="accent1"/>
        </w:rPr>
        <w:t>In order to make the sentences more clear we specified which maps we intend by naming them explicitly</w:t>
      </w:r>
      <w:r w:rsidR="00AB3B51">
        <w:rPr>
          <w:color w:val="5B9BD5" w:themeColor="accent1"/>
        </w:rPr>
        <w:t xml:space="preserve"> (new ms, L24 p 13</w:t>
      </w:r>
      <w:r w:rsidR="00F84ADC">
        <w:rPr>
          <w:color w:val="5B9BD5" w:themeColor="accent1"/>
        </w:rPr>
        <w:t>, L29 P12</w:t>
      </w:r>
      <w:r w:rsidR="00AB3B51">
        <w:rPr>
          <w:color w:val="5B9BD5" w:themeColor="accent1"/>
        </w:rPr>
        <w:t xml:space="preserve">). </w:t>
      </w:r>
    </w:p>
    <w:p w14:paraId="272A7C22" w14:textId="77777777" w:rsidR="00897916" w:rsidRDefault="00897916" w:rsidP="00897916">
      <w:pPr>
        <w:rPr>
          <w:b/>
          <w:color w:val="5B9BD5" w:themeColor="accent1"/>
        </w:rPr>
      </w:pPr>
      <w:r w:rsidRPr="00D00E8B">
        <w:rPr>
          <w:b/>
        </w:rPr>
        <w:t xml:space="preserve">Comment </w:t>
      </w:r>
      <w:r>
        <w:rPr>
          <w:b/>
        </w:rPr>
        <w:t>5</w:t>
      </w:r>
      <w:r w:rsidRPr="00D00E8B">
        <w:rPr>
          <w:b/>
        </w:rPr>
        <w:t>:</w:t>
      </w:r>
      <w:r>
        <w:rPr>
          <w:b/>
        </w:rPr>
        <w:t xml:space="preserve"> </w:t>
      </w:r>
      <w:r w:rsidR="00202D94">
        <w:t>Page 15 line 5: “Jaccard index rises from 46 to 53”. But, JI varies between 0 and 1 (page 12)</w:t>
      </w:r>
      <w:r>
        <w:t>.</w:t>
      </w:r>
      <w:r w:rsidRPr="00D00E8B">
        <w:rPr>
          <w:b/>
          <w:color w:val="5B9BD5" w:themeColor="accent1"/>
        </w:rPr>
        <w:t xml:space="preserve"> </w:t>
      </w:r>
    </w:p>
    <w:p w14:paraId="23E8E34B" w14:textId="4F1E280C" w:rsidR="00897916" w:rsidRDefault="00897916" w:rsidP="00897916">
      <w:pPr>
        <w:rPr>
          <w:color w:val="5B9BD5" w:themeColor="accent1"/>
        </w:rPr>
      </w:pPr>
      <w:r w:rsidRPr="00D00E8B">
        <w:rPr>
          <w:b/>
          <w:color w:val="5B9BD5" w:themeColor="accent1"/>
        </w:rPr>
        <w:t xml:space="preserve">Reply </w:t>
      </w:r>
      <w:r>
        <w:rPr>
          <w:b/>
          <w:color w:val="5B9BD5" w:themeColor="accent1"/>
        </w:rPr>
        <w:t>5</w:t>
      </w:r>
      <w:r w:rsidRPr="00D00E8B">
        <w:rPr>
          <w:color w:val="5B9BD5" w:themeColor="accent1"/>
        </w:rPr>
        <w:t xml:space="preserve">: </w:t>
      </w:r>
      <w:r w:rsidR="00202D94">
        <w:rPr>
          <w:color w:val="5B9BD5" w:themeColor="accent1"/>
        </w:rPr>
        <w:t xml:space="preserve">the mistake is corrected. We meant </w:t>
      </w:r>
      <w:r w:rsidR="00AB3B51">
        <w:rPr>
          <w:color w:val="5B9BD5" w:themeColor="accent1"/>
        </w:rPr>
        <w:t>“</w:t>
      </w:r>
      <w:r w:rsidR="00202D94" w:rsidRPr="0022220B">
        <w:rPr>
          <w:color w:val="538135" w:themeColor="accent6" w:themeShade="BF"/>
        </w:rPr>
        <w:t>0.46 to 0.53</w:t>
      </w:r>
      <w:r w:rsidR="00AB3B51">
        <w:rPr>
          <w:color w:val="5B9BD5" w:themeColor="accent1"/>
        </w:rPr>
        <w:t>”</w:t>
      </w:r>
      <w:r w:rsidR="00202D94">
        <w:rPr>
          <w:color w:val="5B9BD5" w:themeColor="accent1"/>
        </w:rPr>
        <w:t>.</w:t>
      </w:r>
    </w:p>
    <w:p w14:paraId="7EC95786" w14:textId="34B4A7EB" w:rsidR="00AB3B51" w:rsidRPr="0022220B" w:rsidRDefault="00E1454B" w:rsidP="0022220B">
      <w:pPr>
        <w:spacing w:before="360"/>
        <w:rPr>
          <w:rFonts w:cstheme="minorHAnsi"/>
          <w:color w:val="5B9BD5" w:themeColor="accent1"/>
          <w:lang w:val="en-GB"/>
        </w:rPr>
      </w:pPr>
      <w:r w:rsidRPr="0022220B">
        <w:rPr>
          <w:rFonts w:cstheme="minorHAnsi"/>
          <w:b/>
          <w:color w:val="5B9BD5" w:themeColor="accent1"/>
        </w:rPr>
        <w:t>Additional change:</w:t>
      </w:r>
      <w:r w:rsidRPr="0022220B">
        <w:rPr>
          <w:rFonts w:cstheme="minorHAnsi"/>
          <w:color w:val="5B9BD5" w:themeColor="accent1"/>
        </w:rPr>
        <w:t xml:space="preserve"> </w:t>
      </w:r>
      <w:r w:rsidR="00AB3B51" w:rsidRPr="0022220B">
        <w:rPr>
          <w:rFonts w:cstheme="minorHAnsi"/>
          <w:color w:val="5B9BD5" w:themeColor="accent1"/>
        </w:rPr>
        <w:t xml:space="preserve">we also modified the </w:t>
      </w:r>
      <w:r w:rsidR="0022220B" w:rsidRPr="0022220B">
        <w:rPr>
          <w:rFonts w:cstheme="minorHAnsi"/>
          <w:color w:val="5B9BD5" w:themeColor="accent1"/>
        </w:rPr>
        <w:t>Acknowledgments</w:t>
      </w:r>
      <w:r w:rsidR="00AB3B51" w:rsidRPr="0022220B">
        <w:rPr>
          <w:rFonts w:cstheme="minorHAnsi"/>
          <w:color w:val="5B9BD5" w:themeColor="accent1"/>
        </w:rPr>
        <w:t>:</w:t>
      </w:r>
      <w:r w:rsidR="00985283" w:rsidRPr="00E1454B">
        <w:rPr>
          <w:rFonts w:cstheme="minorHAnsi"/>
          <w:color w:val="5B9BD5" w:themeColor="accent1"/>
        </w:rPr>
        <w:t xml:space="preserve"> </w:t>
      </w:r>
      <w:r w:rsidR="00AB3B51" w:rsidRPr="0022220B">
        <w:rPr>
          <w:rFonts w:cstheme="minorHAnsi"/>
          <w:color w:val="5B9BD5" w:themeColor="accent1"/>
          <w:lang w:val="en-GB"/>
        </w:rPr>
        <w:t xml:space="preserve">“This research is a part of the PhD project of Ardalan Tootchi, funded by “Région Ile de France” via the “Réseau francilien de recherche sur le développement soutenable” </w:t>
      </w:r>
      <w:r w:rsidR="00AB3B51" w:rsidRPr="0022220B">
        <w:rPr>
          <w:rFonts w:cstheme="minorHAnsi"/>
          <w:color w:val="538135" w:themeColor="accent6" w:themeShade="BF"/>
          <w:lang w:val="en-GB"/>
        </w:rPr>
        <w:t xml:space="preserve">and by </w:t>
      </w:r>
      <w:r w:rsidR="00AB3B51" w:rsidRPr="0022220B">
        <w:rPr>
          <w:rFonts w:eastAsia="Times New Roman" w:cstheme="minorHAnsi"/>
          <w:color w:val="538135" w:themeColor="accent6" w:themeShade="BF"/>
          <w:szCs w:val="24"/>
          <w:lang w:val="en-GB" w:eastAsia="de-DE"/>
        </w:rPr>
        <w:t>the French</w:t>
      </w:r>
      <w:r w:rsidR="00AB3B51" w:rsidRPr="0022220B">
        <w:rPr>
          <w:rFonts w:cstheme="minorHAnsi"/>
          <w:color w:val="538135" w:themeColor="accent6" w:themeShade="BF"/>
          <w:lang w:val="en-GB"/>
        </w:rPr>
        <w:t xml:space="preserve"> </w:t>
      </w:r>
      <w:r w:rsidR="00AB3B51" w:rsidRPr="0022220B">
        <w:rPr>
          <w:rFonts w:eastAsia="Times New Roman" w:cstheme="minorHAnsi"/>
          <w:color w:val="538135" w:themeColor="accent6" w:themeShade="BF"/>
          <w:szCs w:val="24"/>
          <w:lang w:val="en-GB" w:eastAsia="de-DE"/>
        </w:rPr>
        <w:t>Agence Nationale de la Recherche</w:t>
      </w:r>
      <w:r w:rsidR="00AB3B51" w:rsidRPr="0022220B">
        <w:rPr>
          <w:rFonts w:cstheme="minorHAnsi"/>
          <w:color w:val="538135" w:themeColor="accent6" w:themeShade="BF"/>
          <w:lang w:val="en-GB"/>
        </w:rPr>
        <w:t xml:space="preserve"> </w:t>
      </w:r>
      <w:r w:rsidR="00AB3B51" w:rsidRPr="0022220B">
        <w:rPr>
          <w:rFonts w:eastAsia="Times New Roman" w:cstheme="minorHAnsi"/>
          <w:color w:val="538135" w:themeColor="accent6" w:themeShade="BF"/>
          <w:szCs w:val="24"/>
          <w:lang w:val="en-GB" w:eastAsia="de-DE"/>
        </w:rPr>
        <w:t>(ANR grant ANR-14-</w:t>
      </w:r>
      <w:bookmarkStart w:id="0" w:name="_GoBack"/>
      <w:bookmarkEnd w:id="0"/>
      <w:r w:rsidR="00AB3B51" w:rsidRPr="0022220B">
        <w:rPr>
          <w:rFonts w:eastAsia="Times New Roman" w:cstheme="minorHAnsi"/>
          <w:color w:val="538135" w:themeColor="accent6" w:themeShade="BF"/>
          <w:szCs w:val="24"/>
          <w:lang w:val="en-GB" w:eastAsia="de-DE"/>
        </w:rPr>
        <w:t>CE01-00181-01)</w:t>
      </w:r>
      <w:r w:rsidR="00AB3B51" w:rsidRPr="0022220B">
        <w:rPr>
          <w:rFonts w:cstheme="minorHAnsi"/>
          <w:color w:val="538135" w:themeColor="accent6" w:themeShade="BF"/>
          <w:lang w:val="en-GB"/>
        </w:rPr>
        <w:t>.</w:t>
      </w:r>
      <w:r w:rsidR="00AB3B51" w:rsidRPr="0022220B">
        <w:rPr>
          <w:rFonts w:cstheme="minorHAnsi"/>
          <w:color w:val="5B9BD5" w:themeColor="accent1"/>
          <w:lang w:val="en-GB"/>
        </w:rPr>
        <w:t xml:space="preserve"> “</w:t>
      </w:r>
    </w:p>
    <w:p w14:paraId="3EF9589D" w14:textId="77777777" w:rsidR="00AB3B51" w:rsidRPr="0022220B" w:rsidRDefault="00AB3B51" w:rsidP="00897916">
      <w:pPr>
        <w:rPr>
          <w:color w:val="5B9BD5" w:themeColor="accent1"/>
          <w:lang w:val="en-GB"/>
        </w:rPr>
      </w:pPr>
    </w:p>
    <w:p w14:paraId="6706C910" w14:textId="3C282764" w:rsidR="00AB3B51" w:rsidRDefault="00AB3B51" w:rsidP="00897916">
      <w:pPr>
        <w:rPr>
          <w:color w:val="5B9BD5" w:themeColor="accent1"/>
        </w:rPr>
      </w:pPr>
      <w:r>
        <w:rPr>
          <w:color w:val="5B9BD5" w:themeColor="accent1"/>
        </w:rPr>
        <w:t xml:space="preserve"> </w:t>
      </w:r>
    </w:p>
    <w:p w14:paraId="38647DE7" w14:textId="77777777" w:rsidR="00897916" w:rsidRPr="00D00E8B" w:rsidRDefault="00897916" w:rsidP="00897916">
      <w:pPr>
        <w:rPr>
          <w:color w:val="5B9BD5" w:themeColor="accent1"/>
        </w:rPr>
      </w:pPr>
    </w:p>
    <w:sectPr w:rsidR="00897916" w:rsidRPr="00D0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8B"/>
    <w:rsid w:val="00083D1B"/>
    <w:rsid w:val="00085284"/>
    <w:rsid w:val="00133A9E"/>
    <w:rsid w:val="00202D94"/>
    <w:rsid w:val="0022220B"/>
    <w:rsid w:val="00392963"/>
    <w:rsid w:val="003A76AB"/>
    <w:rsid w:val="005A34A0"/>
    <w:rsid w:val="007E2EC3"/>
    <w:rsid w:val="00897916"/>
    <w:rsid w:val="009033BB"/>
    <w:rsid w:val="00985283"/>
    <w:rsid w:val="00A45A91"/>
    <w:rsid w:val="00AB3B51"/>
    <w:rsid w:val="00B97C18"/>
    <w:rsid w:val="00D00E8B"/>
    <w:rsid w:val="00E1454B"/>
    <w:rsid w:val="00E51602"/>
    <w:rsid w:val="00F76ACC"/>
    <w:rsid w:val="00F84ADC"/>
    <w:rsid w:val="00FA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482C"/>
  <w15:chartTrackingRefBased/>
  <w15:docId w15:val="{F72B6629-EB08-439E-80FC-B3EFAC8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3BB"/>
    <w:rPr>
      <w:sz w:val="16"/>
      <w:szCs w:val="16"/>
    </w:rPr>
  </w:style>
  <w:style w:type="paragraph" w:styleId="CommentText">
    <w:name w:val="annotation text"/>
    <w:basedOn w:val="Normal"/>
    <w:link w:val="CommentTextChar"/>
    <w:uiPriority w:val="99"/>
    <w:semiHidden/>
    <w:unhideWhenUsed/>
    <w:rsid w:val="009033BB"/>
    <w:pPr>
      <w:spacing w:line="240" w:lineRule="auto"/>
    </w:pPr>
    <w:rPr>
      <w:sz w:val="20"/>
      <w:szCs w:val="20"/>
    </w:rPr>
  </w:style>
  <w:style w:type="character" w:customStyle="1" w:styleId="CommentTextChar">
    <w:name w:val="Comment Text Char"/>
    <w:basedOn w:val="DefaultParagraphFont"/>
    <w:link w:val="CommentText"/>
    <w:uiPriority w:val="99"/>
    <w:semiHidden/>
    <w:rsid w:val="009033BB"/>
    <w:rPr>
      <w:sz w:val="20"/>
      <w:szCs w:val="20"/>
    </w:rPr>
  </w:style>
  <w:style w:type="paragraph" w:styleId="CommentSubject">
    <w:name w:val="annotation subject"/>
    <w:basedOn w:val="CommentText"/>
    <w:next w:val="CommentText"/>
    <w:link w:val="CommentSubjectChar"/>
    <w:uiPriority w:val="99"/>
    <w:semiHidden/>
    <w:unhideWhenUsed/>
    <w:rsid w:val="009033BB"/>
    <w:rPr>
      <w:b/>
      <w:bCs/>
    </w:rPr>
  </w:style>
  <w:style w:type="character" w:customStyle="1" w:styleId="CommentSubjectChar">
    <w:name w:val="Comment Subject Char"/>
    <w:basedOn w:val="CommentTextChar"/>
    <w:link w:val="CommentSubject"/>
    <w:uiPriority w:val="99"/>
    <w:semiHidden/>
    <w:rsid w:val="009033BB"/>
    <w:rPr>
      <w:b/>
      <w:bCs/>
      <w:sz w:val="20"/>
      <w:szCs w:val="20"/>
    </w:rPr>
  </w:style>
  <w:style w:type="paragraph" w:styleId="BalloonText">
    <w:name w:val="Balloon Text"/>
    <w:basedOn w:val="Normal"/>
    <w:link w:val="BalloonTextChar"/>
    <w:uiPriority w:val="99"/>
    <w:semiHidden/>
    <w:unhideWhenUsed/>
    <w:rsid w:val="0090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Ardalan</dc:creator>
  <cp:keywords/>
  <dc:description/>
  <cp:lastModifiedBy>Ardalan</cp:lastModifiedBy>
  <cp:revision>2</cp:revision>
  <dcterms:created xsi:type="dcterms:W3CDTF">2019-01-16T08:28:00Z</dcterms:created>
  <dcterms:modified xsi:type="dcterms:W3CDTF">2019-01-16T08:28:00Z</dcterms:modified>
</cp:coreProperties>
</file>